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002EAD" w14:textId="38D4C653" w:rsidR="00356EA8" w:rsidRDefault="00D53320">
      <w:r>
        <w:t>Non-Compete Clause Notes:</w:t>
      </w:r>
    </w:p>
    <w:p w14:paraId="24BAAE55" w14:textId="77777777" w:rsidR="00D53320" w:rsidRDefault="00D53320"/>
    <w:p w14:paraId="1165CA65" w14:textId="0E6D8AF9" w:rsidR="00D53320" w:rsidRDefault="00D53320">
      <w:r w:rsidRPr="00D53320">
        <w:t>Noncompete agreements are typically deemed illegal under the California Business and Professions Code unless the agreement has been made between two business owners or partners.</w:t>
      </w:r>
    </w:p>
    <w:p w14:paraId="110D3ADF" w14:textId="77777777" w:rsidR="00D53320" w:rsidRDefault="00D53320"/>
    <w:p w14:paraId="3798A08A" w14:textId="73F06FAB" w:rsidR="00D53320" w:rsidRDefault="00D53320">
      <w:r w:rsidRPr="00D53320">
        <w:t>The enforceability of non-compete agreements always depends on the facts of the case. If you violate the terms of the agreement, your employer may seek injunctive relief or monetary, punitive, or compensatory damages.</w:t>
      </w:r>
    </w:p>
    <w:p w14:paraId="412CD5B6" w14:textId="77777777" w:rsidR="00D53320" w:rsidRDefault="00D53320"/>
    <w:p w14:paraId="059A6A45" w14:textId="44AD03EE" w:rsidR="00D53320" w:rsidRDefault="00D53320">
      <w:r w:rsidRPr="00D53320">
        <w:t xml:space="preserve">Non-compete agreements are generally binding </w:t>
      </w:r>
      <w:proofErr w:type="gramStart"/>
      <w:r w:rsidRPr="00D53320">
        <w:t>as long as</w:t>
      </w:r>
      <w:proofErr w:type="gramEnd"/>
      <w:r w:rsidRPr="00D53320">
        <w:t xml:space="preserve"> their scope is reasonable. But employment laws var</w:t>
      </w:r>
      <w:r>
        <w:t xml:space="preserve">ied </w:t>
      </w:r>
      <w:r w:rsidRPr="00D53320">
        <w:t xml:space="preserve">by state, and non-compete laws </w:t>
      </w:r>
      <w:r>
        <w:t>were</w:t>
      </w:r>
      <w:r w:rsidRPr="00D53320">
        <w:t xml:space="preserve"> no exception. So, the agreement your new employer had you sign may </w:t>
      </w:r>
      <w:proofErr w:type="spellStart"/>
      <w:r w:rsidRPr="00D53320">
        <w:t>not</w:t>
      </w:r>
      <w:r>
        <w:t>’ve</w:t>
      </w:r>
      <w:proofErr w:type="spellEnd"/>
      <w:r>
        <w:t xml:space="preserve"> </w:t>
      </w:r>
      <w:r w:rsidRPr="00D53320">
        <w:t>be</w:t>
      </w:r>
      <w:r>
        <w:t>en</w:t>
      </w:r>
      <w:r w:rsidRPr="00D53320">
        <w:t xml:space="preserve"> enforceable if they fire you. </w:t>
      </w:r>
      <w:r>
        <w:t>Employment</w:t>
      </w:r>
      <w:r w:rsidRPr="00D53320">
        <w:t xml:space="preserve"> lawyer</w:t>
      </w:r>
      <w:r>
        <w:t>s</w:t>
      </w:r>
      <w:r w:rsidRPr="00D53320">
        <w:t xml:space="preserve"> c</w:t>
      </w:r>
      <w:r>
        <w:t>ould often provide</w:t>
      </w:r>
      <w:r w:rsidRPr="00D53320">
        <w:t xml:space="preserve"> legal advice </w:t>
      </w:r>
      <w:r>
        <w:t xml:space="preserve">pertaining </w:t>
      </w:r>
      <w:proofErr w:type="gramStart"/>
      <w:r>
        <w:t>towards</w:t>
      </w:r>
      <w:proofErr w:type="gramEnd"/>
      <w:r>
        <w:t xml:space="preserve"> each given </w:t>
      </w:r>
      <w:r w:rsidRPr="00D53320">
        <w:t>situation.</w:t>
      </w:r>
    </w:p>
    <w:p w14:paraId="1C158EE1" w14:textId="17B83DD1" w:rsidR="00D53320" w:rsidRDefault="00D53320">
      <w:r w:rsidRPr="00D53320">
        <w:t xml:space="preserve">Non-competes ensure that the employee will not use information learned during employment to start a business and compete with the employer once work is over. It also ensures that the employer keeps </w:t>
      </w:r>
      <w:proofErr w:type="gramStart"/>
      <w:r w:rsidRPr="00D53320">
        <w:t>its</w:t>
      </w:r>
      <w:proofErr w:type="gramEnd"/>
      <w:r w:rsidRPr="00D53320">
        <w:t xml:space="preserve"> place in the market. Non-competes should be designed to protect the best interests of the employer and the employee.</w:t>
      </w:r>
    </w:p>
    <w:p w14:paraId="25F90586" w14:textId="77777777" w:rsidR="00D53320" w:rsidRDefault="00D53320"/>
    <w:p w14:paraId="389F1CAB" w14:textId="3CDFA8EC" w:rsidR="00D53320" w:rsidRDefault="00D53320">
      <w:r w:rsidRPr="00D53320">
        <w:t xml:space="preserve">Employers who </w:t>
      </w:r>
      <w:proofErr w:type="gramStart"/>
      <w:r w:rsidRPr="00D53320">
        <w:t>enter into</w:t>
      </w:r>
      <w:proofErr w:type="gramEnd"/>
      <w:r w:rsidRPr="00D53320">
        <w:t xml:space="preserve"> or attempt to enforce </w:t>
      </w:r>
      <w:proofErr w:type="spellStart"/>
      <w:r w:rsidRPr="00D53320">
        <w:t>noncompetes</w:t>
      </w:r>
      <w:proofErr w:type="spellEnd"/>
      <w:r w:rsidRPr="00D53320">
        <w:t xml:space="preserve"> are liable for damages and a penalty of up to $5,000 per employee. A partner must own more than 10 percent of a business to qualify for the sale of a business exemption to California's noncompete ban</w:t>
      </w:r>
    </w:p>
    <w:p w14:paraId="06F5E4B3" w14:textId="77777777" w:rsidR="00D53320" w:rsidRDefault="00D53320"/>
    <w:p w14:paraId="7589D897" w14:textId="457FE373" w:rsidR="00D53320" w:rsidRDefault="00D53320">
      <w:r w:rsidRPr="00D53320">
        <w:t>On May 7, 2024, the Federal Trade Commission (FTC) published a final rule that effectively bans all non-compete agreements between employers and “workers” as “unfair method[s] of competition” and requires employers to refrain from enforcing most existing non-compete agreements.</w:t>
      </w:r>
    </w:p>
    <w:p w14:paraId="12E31035" w14:textId="77777777" w:rsidR="00D53320" w:rsidRDefault="00D53320"/>
    <w:p w14:paraId="28A59C28" w14:textId="311C1770" w:rsidR="00D53320" w:rsidRDefault="00D53320">
      <w:r w:rsidRPr="00D53320">
        <w:t>On average, noncompete agreements stop</w:t>
      </w:r>
      <w:r>
        <w:t xml:space="preserve">ped </w:t>
      </w:r>
      <w:r w:rsidRPr="00D53320">
        <w:t xml:space="preserve">former employees from taking a new job at a competing company for anywhere from six months to a year. However, in some </w:t>
      </w:r>
      <w:proofErr w:type="gramStart"/>
      <w:r w:rsidRPr="00D53320">
        <w:t>high tech</w:t>
      </w:r>
      <w:proofErr w:type="gramEnd"/>
      <w:r w:rsidRPr="00D53320">
        <w:t xml:space="preserve"> fields where employees have access to extremely sensitive information about new technologies, noncompete agreements could last as long as two years.</w:t>
      </w:r>
    </w:p>
    <w:p w14:paraId="4FC917EA" w14:textId="77777777" w:rsidR="00D53320" w:rsidRDefault="00D53320"/>
    <w:p w14:paraId="4AFE32CF" w14:textId="2586A381" w:rsidR="00D53320" w:rsidRDefault="0093514B">
      <w:r w:rsidRPr="0093514B">
        <w:t xml:space="preserve">Under the Noncompete Rule, the FTC adopted a comprehensive ban on new </w:t>
      </w:r>
      <w:proofErr w:type="spellStart"/>
      <w:r w:rsidRPr="0093514B">
        <w:t>noncompetes</w:t>
      </w:r>
      <w:proofErr w:type="spellEnd"/>
      <w:r w:rsidRPr="0093514B">
        <w:t xml:space="preserve"> with all workers, including senior executives. The final Noncompete Rule provides that it is an unfair method of competition—and therefore a violation of Section 5—for employers to </w:t>
      </w:r>
      <w:proofErr w:type="gramStart"/>
      <w:r w:rsidRPr="0093514B">
        <w:t>enter into</w:t>
      </w:r>
      <w:proofErr w:type="gramEnd"/>
      <w:r w:rsidRPr="0093514B">
        <w:t xml:space="preserve"> </w:t>
      </w:r>
      <w:proofErr w:type="spellStart"/>
      <w:r w:rsidRPr="0093514B">
        <w:t>noncompetes</w:t>
      </w:r>
      <w:proofErr w:type="spellEnd"/>
      <w:r w:rsidRPr="0093514B">
        <w:t xml:space="preserve"> with workers.</w:t>
      </w:r>
    </w:p>
    <w:p w14:paraId="7ADF21AB" w14:textId="77777777" w:rsidR="0093514B" w:rsidRDefault="0093514B">
      <w:r w:rsidRPr="0093514B">
        <w:lastRenderedPageBreak/>
        <w:t>The FTC relies on Sections 5 and 6(g) of the Federal Trade Commission Act (FTC Act) in promulgating the Non-Compete Rule. Section 5 prohibits “unfair methods of competition” (UMC) and empowers the FTC to enforce that prohibition through adjudication.</w:t>
      </w:r>
    </w:p>
    <w:p w14:paraId="7E89DA36" w14:textId="77777777" w:rsidR="00796D5A" w:rsidRDefault="00796D5A">
      <w:r>
        <w:t xml:space="preserve">Adjudication - </w:t>
      </w:r>
      <w:r w:rsidRPr="00796D5A">
        <w:t>a formal judgment on a </w:t>
      </w:r>
      <w:hyperlink r:id="rId5" w:history="1">
        <w:r w:rsidRPr="00796D5A">
          <w:rPr>
            <w:rStyle w:val="Hyperlink"/>
          </w:rPr>
          <w:t>disputed</w:t>
        </w:r>
      </w:hyperlink>
      <w:r w:rsidRPr="00796D5A">
        <w:t> matter.</w:t>
      </w:r>
    </w:p>
    <w:p w14:paraId="111C6F56" w14:textId="6E8BA6C6" w:rsidR="0093514B" w:rsidRDefault="0093514B">
      <w:r w:rsidRPr="0093514B">
        <w:t>When the Federal Trade Commission (FTC) announced its landmark rule abolishing non-compete clauses for nearly all workers in the United States as of September 4, 2024,</w:t>
      </w:r>
      <w:r w:rsidRPr="0093514B">
        <w:rPr>
          <w:vertAlign w:val="superscript"/>
        </w:rPr>
        <w:t>1</w:t>
      </w:r>
      <w:r w:rsidRPr="0093514B">
        <w:t> a wave of hope swept through the physician community.</w:t>
      </w:r>
    </w:p>
    <w:p w14:paraId="66DFBC1F" w14:textId="1C148100" w:rsidR="0093514B" w:rsidRDefault="0093514B">
      <w:r w:rsidRPr="0093514B">
        <w:t>The Final Rule bans almost all non-competes between employers and workers, but does not explicitly ban non-disclosure agreements, customer non-solicitation agreements, or employee non-</w:t>
      </w:r>
      <w:proofErr w:type="gramStart"/>
      <w:r w:rsidRPr="0093514B">
        <w:t>solicit</w:t>
      </w:r>
      <w:proofErr w:type="gramEnd"/>
      <w:r w:rsidRPr="0093514B">
        <w:t xml:space="preserve"> agreements.</w:t>
      </w:r>
    </w:p>
    <w:p w14:paraId="2D68DB7A" w14:textId="6CA25520" w:rsidR="0093514B" w:rsidRDefault="0093514B">
      <w:r w:rsidRPr="0093514B">
        <w:t>The Federal Trade Commission (FTC) voted 3-2 on April 23 to ban non-compete agreements for workers in for-profit companies — a decision that will apply to many employed physicians.</w:t>
      </w:r>
    </w:p>
    <w:p w14:paraId="296063AD" w14:textId="77777777" w:rsidR="0093514B" w:rsidRDefault="0093514B"/>
    <w:p w14:paraId="2D784FA6" w14:textId="77777777" w:rsidR="0093514B" w:rsidRPr="0093514B" w:rsidRDefault="0093514B" w:rsidP="0093514B">
      <w:r w:rsidRPr="0093514B">
        <w:t>The Federal Trade Commission (FTC) voted 3-2 on April 23 to </w:t>
      </w:r>
      <w:hyperlink r:id="rId6" w:tgtFrame="_blank" w:history="1">
        <w:r w:rsidRPr="0093514B">
          <w:rPr>
            <w:rStyle w:val="Hyperlink"/>
          </w:rPr>
          <w:t>ban non-compete agreements</w:t>
        </w:r>
      </w:hyperlink>
      <w:r w:rsidRPr="0093514B">
        <w:t> for workers in for-profit companies — a decision that will apply to many employed physicians.</w:t>
      </w:r>
    </w:p>
    <w:p w14:paraId="7B945BFB" w14:textId="77777777" w:rsidR="0093514B" w:rsidRPr="0093514B" w:rsidRDefault="0093514B" w:rsidP="0093514B">
      <w:r w:rsidRPr="0093514B">
        <w:t>The new FTC rule is set to take effect 120 days after publication in the </w:t>
      </w:r>
      <w:r w:rsidRPr="0093514B">
        <w:rPr>
          <w:i/>
          <w:iCs/>
        </w:rPr>
        <w:t>Federal Register, </w:t>
      </w:r>
      <w:r w:rsidRPr="0093514B">
        <w:t>barring a legal injunction (the U.S. Chamber of Commerce and other business groups have sued to stop the rule).  </w:t>
      </w:r>
    </w:p>
    <w:p w14:paraId="0599B3BC" w14:textId="77777777" w:rsidR="0093514B" w:rsidRPr="0093514B" w:rsidRDefault="0093514B" w:rsidP="0093514B">
      <w:r w:rsidRPr="0093514B">
        <w:t>The rule prohibits employers from taking the following actions:</w:t>
      </w:r>
      <w:r w:rsidRPr="0093514B">
        <w:rPr>
          <w:vertAlign w:val="superscript"/>
        </w:rPr>
        <w:t>1</w:t>
      </w:r>
    </w:p>
    <w:p w14:paraId="7490D709" w14:textId="77777777" w:rsidR="0093514B" w:rsidRPr="0093514B" w:rsidRDefault="0093514B" w:rsidP="0093514B">
      <w:pPr>
        <w:numPr>
          <w:ilvl w:val="0"/>
          <w:numId w:val="1"/>
        </w:numPr>
      </w:pPr>
      <w:proofErr w:type="gramStart"/>
      <w:r w:rsidRPr="0093514B">
        <w:t>Entering into</w:t>
      </w:r>
      <w:proofErr w:type="gramEnd"/>
      <w:r w:rsidRPr="0093514B">
        <w:t xml:space="preserve"> or attempting to enter into a non-compete clause,</w:t>
      </w:r>
    </w:p>
    <w:p w14:paraId="739666C2" w14:textId="77777777" w:rsidR="0093514B" w:rsidRPr="0093514B" w:rsidRDefault="0093514B" w:rsidP="0093514B">
      <w:pPr>
        <w:numPr>
          <w:ilvl w:val="0"/>
          <w:numId w:val="1"/>
        </w:numPr>
      </w:pPr>
      <w:r w:rsidRPr="0093514B">
        <w:t>Enforcing or attempting to enforce a non-compete clause,</w:t>
      </w:r>
    </w:p>
    <w:p w14:paraId="6BF10F4B" w14:textId="77777777" w:rsidR="0093514B" w:rsidRPr="0093514B" w:rsidRDefault="0093514B" w:rsidP="0093514B">
      <w:pPr>
        <w:numPr>
          <w:ilvl w:val="0"/>
          <w:numId w:val="1"/>
        </w:numPr>
      </w:pPr>
      <w:r w:rsidRPr="0093514B">
        <w:t>Representing that a worker is subject to a non-compete clause.</w:t>
      </w:r>
    </w:p>
    <w:p w14:paraId="19E4A2F7" w14:textId="77777777" w:rsidR="0093514B" w:rsidRPr="0093514B" w:rsidRDefault="0093514B" w:rsidP="0093514B">
      <w:r w:rsidRPr="0093514B">
        <w:t xml:space="preserve">Employers will also be required to notify workers already bound by </w:t>
      </w:r>
      <w:proofErr w:type="spellStart"/>
      <w:r w:rsidRPr="0093514B">
        <w:t>noncompetes</w:t>
      </w:r>
      <w:proofErr w:type="spellEnd"/>
      <w:r w:rsidRPr="0093514B">
        <w:t xml:space="preserve"> that they will not be enforced.</w:t>
      </w:r>
      <w:r w:rsidRPr="0093514B">
        <w:rPr>
          <w:vertAlign w:val="superscript"/>
        </w:rPr>
        <w:t>2</w:t>
      </w:r>
    </w:p>
    <w:p w14:paraId="734C94CD" w14:textId="77777777" w:rsidR="0093514B" w:rsidRDefault="0093514B" w:rsidP="0093514B">
      <w:r w:rsidRPr="0093514B">
        <w:t>The FTC ruling will expand job opportunities for many physicians employed by for-profit health systems, private equity firms, or other corporations who were previously constrained by noncompete clauses.</w:t>
      </w:r>
    </w:p>
    <w:p w14:paraId="2A8F4850" w14:textId="77777777" w:rsidR="00B12DD7" w:rsidRPr="00B12DD7" w:rsidRDefault="00B12DD7" w:rsidP="00B12DD7">
      <w:r w:rsidRPr="00B12DD7">
        <w:t>Physicians who work for nonprofit organizations may hear conflicting information about whether the ban applies to them. Their employers may be consulting with their attorneys, examining business practices, and waiting for litigation on this ruling to move through the courts.</w:t>
      </w:r>
      <w:r w:rsidRPr="00B12DD7">
        <w:rPr>
          <w:vertAlign w:val="superscript"/>
        </w:rPr>
        <w:t>4</w:t>
      </w:r>
    </w:p>
    <w:p w14:paraId="55D5E008" w14:textId="77777777" w:rsidR="00B12DD7" w:rsidRPr="00B12DD7" w:rsidRDefault="00B12DD7" w:rsidP="00B12DD7">
      <w:r w:rsidRPr="00B12DD7">
        <w:t>Kyle Claussen, an attorney with </w:t>
      </w:r>
      <w:hyperlink r:id="rId7" w:tgtFrame="_blank" w:history="1">
        <w:r w:rsidRPr="00B12DD7">
          <w:rPr>
            <w:rStyle w:val="Hyperlink"/>
          </w:rPr>
          <w:t>Resolve</w:t>
        </w:r>
      </w:hyperlink>
      <w:r w:rsidRPr="00B12DD7">
        <w:t> (an AAFP Member Advantage Partner), wrote in a blog post that the best course of action for physicians is “to educate yourself on the new ruling, stay up-to-date with the latest developments to the new rule, and demand the removal of a non-compete from your contract if you are in current negotiations.</w:t>
      </w:r>
    </w:p>
    <w:p w14:paraId="39B9B964" w14:textId="77777777" w:rsidR="0093514B" w:rsidRDefault="0093514B"/>
    <w:p w14:paraId="41B697A2" w14:textId="77777777" w:rsidR="00B12DD7" w:rsidRPr="00B12DD7" w:rsidRDefault="00B12DD7" w:rsidP="00B12DD7">
      <w:pPr>
        <w:rPr>
          <w:b/>
          <w:bCs/>
        </w:rPr>
      </w:pPr>
      <w:r w:rsidRPr="00B12DD7">
        <w:rPr>
          <w:b/>
          <w:bCs/>
        </w:rPr>
        <w:lastRenderedPageBreak/>
        <w:t>What is a Noncompete Agreement? Los Angeles Employment Lawyer Defines</w:t>
      </w:r>
    </w:p>
    <w:p w14:paraId="14E3E66A" w14:textId="77777777" w:rsidR="00B12DD7" w:rsidRPr="00B12DD7" w:rsidRDefault="00B12DD7" w:rsidP="00B12DD7">
      <w:r w:rsidRPr="00B12DD7">
        <w:t>A noncompete agreement is a type of contract drafted by an employer meant to limit an employee’s actions after a resignation or termination from a position. Typically, a noncompete agreement prohibits you from working for a competitor until a set period has passed, but it may additionally ban you from completing the following actions:</w:t>
      </w:r>
    </w:p>
    <w:p w14:paraId="060B2BB4" w14:textId="77777777" w:rsidR="00B12DD7" w:rsidRPr="00B12DD7" w:rsidRDefault="00B12DD7" w:rsidP="00B12DD7">
      <w:pPr>
        <w:numPr>
          <w:ilvl w:val="0"/>
          <w:numId w:val="2"/>
        </w:numPr>
      </w:pPr>
      <w:r w:rsidRPr="00B12DD7">
        <w:t>Starting your own company in the same industry</w:t>
      </w:r>
    </w:p>
    <w:p w14:paraId="75985EE5" w14:textId="77777777" w:rsidR="00B12DD7" w:rsidRPr="00B12DD7" w:rsidRDefault="00B12DD7" w:rsidP="00B12DD7">
      <w:pPr>
        <w:numPr>
          <w:ilvl w:val="0"/>
          <w:numId w:val="2"/>
        </w:numPr>
      </w:pPr>
      <w:r w:rsidRPr="00B12DD7">
        <w:t>Contacting former customers</w:t>
      </w:r>
    </w:p>
    <w:p w14:paraId="717D7478" w14:textId="77777777" w:rsidR="00B12DD7" w:rsidRPr="00B12DD7" w:rsidRDefault="00B12DD7" w:rsidP="00B12DD7">
      <w:pPr>
        <w:numPr>
          <w:ilvl w:val="0"/>
          <w:numId w:val="2"/>
        </w:numPr>
      </w:pPr>
      <w:r w:rsidRPr="00B12DD7">
        <w:t xml:space="preserve">Utilizing </w:t>
      </w:r>
      <w:proofErr w:type="gramStart"/>
      <w:r w:rsidRPr="00B12DD7">
        <w:t>skills</w:t>
      </w:r>
      <w:proofErr w:type="gramEnd"/>
      <w:r w:rsidRPr="00B12DD7">
        <w:t xml:space="preserve"> you learned on the job</w:t>
      </w:r>
    </w:p>
    <w:p w14:paraId="74EA1467" w14:textId="77777777" w:rsidR="00B12DD7" w:rsidRPr="00B12DD7" w:rsidRDefault="00B12DD7" w:rsidP="00B12DD7">
      <w:pPr>
        <w:numPr>
          <w:ilvl w:val="0"/>
          <w:numId w:val="2"/>
        </w:numPr>
      </w:pPr>
      <w:r w:rsidRPr="00B12DD7">
        <w:t>Revealing the existence of your former employer’s negotiation</w:t>
      </w:r>
    </w:p>
    <w:p w14:paraId="531DBA83" w14:textId="77777777" w:rsidR="00B12DD7" w:rsidRPr="00B12DD7" w:rsidRDefault="00B12DD7" w:rsidP="00B12DD7">
      <w:pPr>
        <w:numPr>
          <w:ilvl w:val="0"/>
          <w:numId w:val="2"/>
        </w:numPr>
      </w:pPr>
      <w:r w:rsidRPr="00B12DD7">
        <w:t>Publicly discussing any </w:t>
      </w:r>
      <w:hyperlink r:id="rId8" w:history="1">
        <w:r w:rsidRPr="00B12DD7">
          <w:rPr>
            <w:rStyle w:val="Hyperlink"/>
            <w:b/>
            <w:bCs/>
          </w:rPr>
          <w:t>whistleblower actions</w:t>
        </w:r>
      </w:hyperlink>
      <w:r w:rsidRPr="00B12DD7">
        <w:t> you may have witnessed</w:t>
      </w:r>
    </w:p>
    <w:p w14:paraId="6D7C6946" w14:textId="6D8C0891" w:rsidR="00B12DD7" w:rsidRDefault="00B12DD7" w:rsidP="00B12DD7">
      <w:pPr>
        <w:numPr>
          <w:ilvl w:val="0"/>
          <w:numId w:val="2"/>
        </w:numPr>
        <w:shd w:val="clear" w:color="auto" w:fill="F7F7F7"/>
        <w:spacing w:before="168" w:after="100" w:afterAutospacing="1" w:line="240" w:lineRule="auto"/>
        <w:rPr>
          <w:rFonts w:ascii="PT Sans" w:eastAsia="Times New Roman" w:hAnsi="PT Sans" w:cs="Times New Roman"/>
          <w:color w:val="000000"/>
          <w:kern w:val="0"/>
          <w:sz w:val="26"/>
          <w:szCs w:val="26"/>
          <w14:ligatures w14:val="none"/>
        </w:rPr>
      </w:pPr>
      <w:r w:rsidRPr="00B12DD7">
        <w:rPr>
          <w:rFonts w:ascii="PT Sans" w:eastAsia="Times New Roman" w:hAnsi="PT Sans" w:cs="Times New Roman"/>
          <w:color w:val="000000"/>
          <w:kern w:val="0"/>
          <w:sz w:val="26"/>
          <w:szCs w:val="26"/>
          <w14:ligatures w14:val="none"/>
        </w:rPr>
        <w:t>Revealing or capitalizing upon your former employer’s alleged trade secrets</w:t>
      </w:r>
    </w:p>
    <w:p w14:paraId="53F43CFA" w14:textId="77777777" w:rsidR="00B12DD7" w:rsidRPr="00B12DD7" w:rsidRDefault="00B12DD7"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r w:rsidRPr="00B12DD7">
        <w:rPr>
          <w:rFonts w:ascii="PT Sans" w:eastAsia="Times New Roman" w:hAnsi="PT Sans" w:cs="Times New Roman"/>
          <w:color w:val="000000"/>
          <w:kern w:val="0"/>
          <w:sz w:val="26"/>
          <w:szCs w:val="26"/>
          <w14:ligatures w14:val="none"/>
        </w:rPr>
        <w:t>If a prospective employer makes a job offer contingent upon signing a non-compete agreement, the employer could be in violation of California labor laws. Our </w:t>
      </w:r>
      <w:hyperlink r:id="rId9" w:history="1">
        <w:r w:rsidRPr="00B12DD7">
          <w:rPr>
            <w:rFonts w:ascii="PT Sans" w:eastAsia="Times New Roman" w:hAnsi="PT Sans" w:cs="Times New Roman"/>
            <w:b/>
            <w:bCs/>
            <w:color w:val="F29D35"/>
            <w:kern w:val="0"/>
            <w:sz w:val="26"/>
            <w:szCs w:val="26"/>
            <w14:ligatures w14:val="none"/>
          </w:rPr>
          <w:t>Los Angeles employment attorneys</w:t>
        </w:r>
      </w:hyperlink>
      <w:r w:rsidRPr="00B12DD7">
        <w:rPr>
          <w:rFonts w:ascii="PT Sans" w:eastAsia="Times New Roman" w:hAnsi="PT Sans" w:cs="Times New Roman"/>
          <w:color w:val="000000"/>
          <w:kern w:val="0"/>
          <w:sz w:val="26"/>
          <w:szCs w:val="26"/>
          <w14:ligatures w14:val="none"/>
        </w:rPr>
        <w:t> can help defend your employee rights if your employer made you sign a non-compete agreement.</w:t>
      </w:r>
    </w:p>
    <w:p w14:paraId="3BE8FC80" w14:textId="77777777" w:rsidR="00B12DD7" w:rsidRDefault="00B12DD7" w:rsidP="00B12DD7">
      <w:pPr>
        <w:pStyle w:val="ListParagraph"/>
        <w:shd w:val="clear" w:color="auto" w:fill="F7F7F7"/>
        <w:spacing w:before="100" w:beforeAutospacing="1" w:after="100" w:afterAutospacing="1" w:line="240" w:lineRule="auto"/>
        <w:outlineLvl w:val="3"/>
        <w:rPr>
          <w:rFonts w:ascii="Times New Roman" w:eastAsia="Times New Roman" w:hAnsi="Times New Roman" w:cs="Times New Roman"/>
          <w:b/>
          <w:bCs/>
          <w:color w:val="000000"/>
          <w:spacing w:val="5"/>
          <w:kern w:val="0"/>
          <w:sz w:val="24"/>
          <w:szCs w:val="24"/>
          <w14:ligatures w14:val="none"/>
        </w:rPr>
      </w:pPr>
    </w:p>
    <w:p w14:paraId="5BD41431" w14:textId="09E1F10C" w:rsidR="00B12DD7" w:rsidRPr="00B12DD7" w:rsidRDefault="00B12DD7" w:rsidP="00B12DD7">
      <w:pPr>
        <w:pStyle w:val="ListParagraph"/>
        <w:shd w:val="clear" w:color="auto" w:fill="F7F7F7"/>
        <w:spacing w:before="100" w:beforeAutospacing="1" w:after="100" w:afterAutospacing="1" w:line="240" w:lineRule="auto"/>
        <w:outlineLvl w:val="3"/>
        <w:rPr>
          <w:rFonts w:ascii="Times New Roman" w:eastAsia="Times New Roman" w:hAnsi="Times New Roman" w:cs="Times New Roman"/>
          <w:b/>
          <w:bCs/>
          <w:color w:val="000000"/>
          <w:spacing w:val="5"/>
          <w:kern w:val="0"/>
          <w:sz w:val="24"/>
          <w:szCs w:val="24"/>
          <w14:ligatures w14:val="none"/>
        </w:rPr>
      </w:pPr>
      <w:r w:rsidRPr="00B12DD7">
        <w:rPr>
          <w:rFonts w:ascii="Times New Roman" w:eastAsia="Times New Roman" w:hAnsi="Times New Roman" w:cs="Times New Roman"/>
          <w:b/>
          <w:bCs/>
          <w:color w:val="000000"/>
          <w:spacing w:val="5"/>
          <w:kern w:val="0"/>
          <w:sz w:val="24"/>
          <w:szCs w:val="24"/>
          <w14:ligatures w14:val="none"/>
        </w:rPr>
        <w:t>Can My Employer Fire Me for Refusing to Sign a California Noncompete Agreement?</w:t>
      </w:r>
    </w:p>
    <w:p w14:paraId="47FD72BC" w14:textId="77777777" w:rsidR="00B12DD7" w:rsidRDefault="00B12DD7"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p w14:paraId="2975F1D0" w14:textId="77777777" w:rsidR="00B12DD7" w:rsidRDefault="00B12DD7" w:rsidP="00B12DD7">
      <w:pPr>
        <w:pStyle w:val="ListParagraph"/>
        <w:rPr>
          <w:rFonts w:ascii="PT Sans" w:hAnsi="PT Sans"/>
          <w:color w:val="000000"/>
          <w:sz w:val="26"/>
          <w:szCs w:val="26"/>
        </w:rPr>
      </w:pPr>
      <w:r w:rsidRPr="00B12DD7">
        <w:rPr>
          <w:rFonts w:ascii="PT Sans" w:eastAsia="Times New Roman" w:hAnsi="PT Sans" w:cs="Times New Roman"/>
          <w:color w:val="000000"/>
          <w:kern w:val="0"/>
          <w:sz w:val="26"/>
          <w:szCs w:val="26"/>
          <w14:ligatures w14:val="none"/>
        </w:rPr>
        <w:t>It is unlawful for California employers to fire employees who refuse to sign non-compete agreements. When an employer terminates an employee on illegal grounds, a </w:t>
      </w:r>
      <w:hyperlink r:id="rId10" w:history="1">
        <w:r w:rsidRPr="00B12DD7">
          <w:rPr>
            <w:rFonts w:ascii="PT Sans" w:eastAsia="Times New Roman" w:hAnsi="PT Sans" w:cs="Times New Roman"/>
            <w:b/>
            <w:bCs/>
            <w:color w:val="F29D35"/>
            <w:kern w:val="0"/>
            <w:sz w:val="26"/>
            <w:szCs w:val="26"/>
            <w14:ligatures w14:val="none"/>
          </w:rPr>
          <w:t>wrongful termination</w:t>
        </w:r>
      </w:hyperlink>
      <w:r w:rsidRPr="00B12DD7">
        <w:rPr>
          <w:rFonts w:ascii="PT Sans" w:eastAsia="Times New Roman" w:hAnsi="PT Sans" w:cs="Times New Roman"/>
          <w:color w:val="000000"/>
          <w:kern w:val="0"/>
          <w:sz w:val="26"/>
          <w:szCs w:val="26"/>
          <w14:ligatures w14:val="none"/>
        </w:rPr>
        <w:t> has occurred,</w:t>
      </w:r>
      <w:r>
        <w:rPr>
          <w:rFonts w:ascii="PT Sans" w:eastAsia="Times New Roman" w:hAnsi="PT Sans" w:cs="Times New Roman"/>
          <w:color w:val="000000"/>
          <w:kern w:val="0"/>
          <w:sz w:val="26"/>
          <w:szCs w:val="26"/>
          <w14:ligatures w14:val="none"/>
        </w:rPr>
        <w:t xml:space="preserve"> </w:t>
      </w:r>
      <w:r w:rsidRPr="00B12DD7">
        <w:rPr>
          <w:rFonts w:ascii="PT Sans" w:hAnsi="PT Sans"/>
          <w:color w:val="000000"/>
          <w:sz w:val="26"/>
          <w:szCs w:val="26"/>
        </w:rPr>
        <w:t xml:space="preserve">and the employee may choose to take legal action against his or her employer. Sometimes, though, it can be difficult to determine whether an agreement is </w:t>
      </w:r>
      <w:proofErr w:type="gramStart"/>
      <w:r w:rsidRPr="00B12DD7">
        <w:rPr>
          <w:rFonts w:ascii="PT Sans" w:hAnsi="PT Sans"/>
          <w:color w:val="000000"/>
          <w:sz w:val="26"/>
          <w:szCs w:val="26"/>
        </w:rPr>
        <w:t>actually a</w:t>
      </w:r>
      <w:proofErr w:type="gramEnd"/>
      <w:r w:rsidRPr="00B12DD7">
        <w:rPr>
          <w:rFonts w:ascii="PT Sans" w:hAnsi="PT Sans"/>
          <w:color w:val="000000"/>
          <w:sz w:val="26"/>
          <w:szCs w:val="26"/>
        </w:rPr>
        <w:t xml:space="preserve"> noncompete, even if it is labeled as such. If you are approached by an employer to sign a noncompete agreement, or a contract that seems to be a noncompete, have it reviewed by a Los Angeles employment attorney prior to signing the document or taking legal action against your employer.</w:t>
      </w:r>
    </w:p>
    <w:p w14:paraId="10055719" w14:textId="77777777" w:rsidR="00B12DD7" w:rsidRPr="00B12DD7" w:rsidRDefault="00B12DD7" w:rsidP="00B12DD7">
      <w:pPr>
        <w:pStyle w:val="ListParagraph"/>
        <w:rPr>
          <w:rFonts w:ascii="PT Sans" w:hAnsi="PT Sans"/>
          <w:color w:val="000000"/>
          <w:sz w:val="26"/>
          <w:szCs w:val="26"/>
        </w:rPr>
      </w:pPr>
    </w:p>
    <w:p w14:paraId="2CCA7C7D" w14:textId="77777777" w:rsidR="00B12DD7" w:rsidRDefault="00B12DD7" w:rsidP="00B12DD7">
      <w:pPr>
        <w:pStyle w:val="ListParagraph"/>
        <w:rPr>
          <w:rFonts w:ascii="PT Sans" w:eastAsia="Times New Roman" w:hAnsi="PT Sans" w:cs="Times New Roman"/>
          <w:b/>
          <w:bCs/>
          <w:color w:val="000000"/>
          <w:kern w:val="0"/>
          <w:sz w:val="26"/>
          <w:szCs w:val="26"/>
          <w14:ligatures w14:val="none"/>
        </w:rPr>
      </w:pPr>
      <w:r w:rsidRPr="00B12DD7">
        <w:rPr>
          <w:rFonts w:ascii="PT Sans" w:eastAsia="Times New Roman" w:hAnsi="PT Sans" w:cs="Times New Roman"/>
          <w:b/>
          <w:bCs/>
          <w:color w:val="000000"/>
          <w:kern w:val="0"/>
          <w:sz w:val="26"/>
          <w:szCs w:val="26"/>
          <w14:ligatures w14:val="none"/>
        </w:rPr>
        <w:t>California Noncompete Trade Secret Exception</w:t>
      </w:r>
    </w:p>
    <w:p w14:paraId="4E82837C" w14:textId="77777777" w:rsidR="00B12DD7" w:rsidRPr="00B12DD7" w:rsidRDefault="00B12DD7" w:rsidP="00B12DD7">
      <w:pPr>
        <w:pStyle w:val="ListParagraph"/>
        <w:rPr>
          <w:rFonts w:ascii="PT Sans" w:eastAsia="Times New Roman" w:hAnsi="PT Sans" w:cs="Times New Roman"/>
          <w:b/>
          <w:bCs/>
          <w:color w:val="000000"/>
          <w:kern w:val="0"/>
          <w:sz w:val="26"/>
          <w:szCs w:val="26"/>
          <w14:ligatures w14:val="none"/>
        </w:rPr>
      </w:pPr>
    </w:p>
    <w:p w14:paraId="6F1680EA" w14:textId="77777777" w:rsidR="00B12DD7" w:rsidRDefault="00B12DD7" w:rsidP="00B12DD7">
      <w:pPr>
        <w:pStyle w:val="ListParagraph"/>
        <w:rPr>
          <w:rFonts w:ascii="PT Sans" w:eastAsia="Times New Roman" w:hAnsi="PT Sans" w:cs="Times New Roman"/>
          <w:color w:val="000000"/>
          <w:kern w:val="0"/>
          <w:sz w:val="26"/>
          <w:szCs w:val="26"/>
          <w14:ligatures w14:val="none"/>
        </w:rPr>
      </w:pPr>
      <w:r w:rsidRPr="00B12DD7">
        <w:rPr>
          <w:rFonts w:ascii="PT Sans" w:eastAsia="Times New Roman" w:hAnsi="PT Sans" w:cs="Times New Roman"/>
          <w:color w:val="000000"/>
          <w:kern w:val="0"/>
          <w:sz w:val="26"/>
          <w:szCs w:val="26"/>
          <w14:ligatures w14:val="none"/>
        </w:rPr>
        <w:t xml:space="preserve">Many noncompete agreements contain trade secret clauses. California labor laws define a trade secret as any guarded method, design, formula or other business tactic that is unknown to those outside of a company, responsible for a large portion of a business’s success and is challenging to duplicate. </w:t>
      </w:r>
      <w:r w:rsidRPr="00B12DD7">
        <w:rPr>
          <w:rFonts w:ascii="PT Sans" w:eastAsia="Times New Roman" w:hAnsi="PT Sans" w:cs="Times New Roman"/>
          <w:color w:val="000000"/>
          <w:kern w:val="0"/>
          <w:sz w:val="26"/>
          <w:szCs w:val="26"/>
          <w14:ligatures w14:val="none"/>
        </w:rPr>
        <w:lastRenderedPageBreak/>
        <w:t>Trade secrets are typically special formulas, programs, marketing techniques or developmental processes.</w:t>
      </w:r>
    </w:p>
    <w:p w14:paraId="4BF5DCFE" w14:textId="77777777" w:rsidR="00B12DD7" w:rsidRPr="00B12DD7" w:rsidRDefault="00B12DD7" w:rsidP="00B12DD7">
      <w:pPr>
        <w:pStyle w:val="ListParagraph"/>
        <w:rPr>
          <w:rFonts w:ascii="PT Sans" w:eastAsia="Times New Roman" w:hAnsi="PT Sans" w:cs="Times New Roman"/>
          <w:color w:val="000000"/>
          <w:kern w:val="0"/>
          <w:sz w:val="26"/>
          <w:szCs w:val="26"/>
          <w14:ligatures w14:val="none"/>
        </w:rPr>
      </w:pPr>
    </w:p>
    <w:p w14:paraId="00736C0B" w14:textId="77777777" w:rsidR="00B12DD7" w:rsidRPr="00B12DD7" w:rsidRDefault="00B12DD7" w:rsidP="00B12DD7">
      <w:pPr>
        <w:pStyle w:val="ListParagraph"/>
        <w:rPr>
          <w:rFonts w:ascii="PT Sans" w:eastAsia="Times New Roman" w:hAnsi="PT Sans" w:cs="Times New Roman"/>
          <w:color w:val="000000"/>
          <w:kern w:val="0"/>
          <w:sz w:val="26"/>
          <w:szCs w:val="26"/>
          <w14:ligatures w14:val="none"/>
        </w:rPr>
      </w:pPr>
      <w:r w:rsidRPr="00B12DD7">
        <w:rPr>
          <w:rFonts w:ascii="PT Sans" w:eastAsia="Times New Roman" w:hAnsi="PT Sans" w:cs="Times New Roman"/>
          <w:color w:val="000000"/>
          <w:kern w:val="0"/>
          <w:sz w:val="26"/>
          <w:szCs w:val="26"/>
          <w14:ligatures w14:val="none"/>
        </w:rPr>
        <w:t>For something to be considered a trade secret in California, it must meet two criteria:</w:t>
      </w:r>
    </w:p>
    <w:p w14:paraId="67049AA4" w14:textId="77777777" w:rsidR="00B12DD7" w:rsidRPr="00B12DD7" w:rsidRDefault="00B12DD7" w:rsidP="00B12DD7">
      <w:pPr>
        <w:pStyle w:val="ListParagraph"/>
        <w:numPr>
          <w:ilvl w:val="0"/>
          <w:numId w:val="4"/>
        </w:numPr>
        <w:rPr>
          <w:rFonts w:ascii="PT Sans" w:eastAsia="Times New Roman" w:hAnsi="PT Sans" w:cs="Times New Roman"/>
          <w:color w:val="000000"/>
          <w:kern w:val="0"/>
          <w:sz w:val="26"/>
          <w:szCs w:val="26"/>
          <w14:ligatures w14:val="none"/>
        </w:rPr>
      </w:pPr>
      <w:r w:rsidRPr="00B12DD7">
        <w:rPr>
          <w:rFonts w:ascii="PT Sans" w:eastAsia="Times New Roman" w:hAnsi="PT Sans" w:cs="Times New Roman"/>
          <w:color w:val="000000"/>
          <w:kern w:val="0"/>
          <w:sz w:val="26"/>
          <w:szCs w:val="26"/>
          <w14:ligatures w14:val="none"/>
        </w:rPr>
        <w:t xml:space="preserve">The “trade secret” must be of great economic value to the company and must pose a risk to the financial well-being of the business </w:t>
      </w:r>
      <w:proofErr w:type="gramStart"/>
      <w:r w:rsidRPr="00B12DD7">
        <w:rPr>
          <w:rFonts w:ascii="PT Sans" w:eastAsia="Times New Roman" w:hAnsi="PT Sans" w:cs="Times New Roman"/>
          <w:color w:val="000000"/>
          <w:kern w:val="0"/>
          <w:sz w:val="26"/>
          <w:szCs w:val="26"/>
          <w14:ligatures w14:val="none"/>
        </w:rPr>
        <w:t>in the event that</w:t>
      </w:r>
      <w:proofErr w:type="gramEnd"/>
      <w:r w:rsidRPr="00B12DD7">
        <w:rPr>
          <w:rFonts w:ascii="PT Sans" w:eastAsia="Times New Roman" w:hAnsi="PT Sans" w:cs="Times New Roman"/>
          <w:color w:val="000000"/>
          <w:kern w:val="0"/>
          <w:sz w:val="26"/>
          <w:szCs w:val="26"/>
          <w14:ligatures w14:val="none"/>
        </w:rPr>
        <w:t xml:space="preserve"> the information is exposed to competitors or the public.</w:t>
      </w:r>
    </w:p>
    <w:p w14:paraId="36AD6BB5" w14:textId="77777777" w:rsidR="00B12DD7" w:rsidRPr="00B12DD7" w:rsidRDefault="00B12DD7" w:rsidP="00B12DD7">
      <w:pPr>
        <w:pStyle w:val="ListParagraph"/>
        <w:numPr>
          <w:ilvl w:val="0"/>
          <w:numId w:val="4"/>
        </w:numPr>
        <w:spacing w:before="100" w:beforeAutospacing="1"/>
        <w:rPr>
          <w:rFonts w:ascii="PT Sans" w:eastAsia="Times New Roman" w:hAnsi="PT Sans" w:cs="Times New Roman"/>
          <w:color w:val="000000"/>
          <w:kern w:val="0"/>
          <w:sz w:val="26"/>
          <w:szCs w:val="26"/>
          <w14:ligatures w14:val="none"/>
        </w:rPr>
      </w:pPr>
      <w:r w:rsidRPr="00B12DD7">
        <w:rPr>
          <w:rFonts w:ascii="PT Sans" w:eastAsia="Times New Roman" w:hAnsi="PT Sans" w:cs="Times New Roman"/>
          <w:color w:val="000000"/>
          <w:kern w:val="0"/>
          <w:sz w:val="26"/>
          <w:szCs w:val="26"/>
          <w14:ligatures w14:val="none"/>
        </w:rPr>
        <w:t>There must be sufficient effort from the trade secret owner to protect the information from reaching anybody other than the employees who must utilize it for their job.</w:t>
      </w:r>
    </w:p>
    <w:p w14:paraId="77E6EA13" w14:textId="4D5C8DBA" w:rsidR="00B12DD7" w:rsidRDefault="00B12DD7"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p w14:paraId="68D4E6F2" w14:textId="77777777" w:rsidR="00AF55E9" w:rsidRDefault="00AF55E9"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p w14:paraId="5EE0EA4A" w14:textId="77777777" w:rsidR="00AF55E9" w:rsidRDefault="00AF55E9"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p w14:paraId="256F2B5E" w14:textId="77777777" w:rsidR="00AF55E9" w:rsidRDefault="00AF55E9"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p w14:paraId="7CA8F22B" w14:textId="77777777" w:rsidR="00AF55E9" w:rsidRDefault="00AF55E9"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p w14:paraId="7DA8BB84" w14:textId="77777777" w:rsidR="00AF55E9" w:rsidRDefault="00AF55E9"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p w14:paraId="13EA8EA5" w14:textId="77777777" w:rsidR="00AF55E9" w:rsidRDefault="00AF55E9"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p w14:paraId="45AC5400" w14:textId="77777777" w:rsidR="00AF55E9" w:rsidRDefault="00AF55E9"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p w14:paraId="718AF0D6" w14:textId="77777777" w:rsidR="00AF55E9" w:rsidRDefault="00AF55E9"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p w14:paraId="70CA9BC9" w14:textId="77777777" w:rsidR="00AF55E9" w:rsidRDefault="00AF55E9"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p w14:paraId="25053EAF" w14:textId="77777777" w:rsidR="00AF55E9" w:rsidRDefault="00AF55E9"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p w14:paraId="767D2F41" w14:textId="77777777" w:rsidR="00AF55E9" w:rsidRDefault="00AF55E9"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p w14:paraId="57B0514A" w14:textId="77777777" w:rsidR="00AF55E9" w:rsidRDefault="00AF55E9"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p w14:paraId="5A1F6874" w14:textId="77777777" w:rsidR="00AF55E9" w:rsidRDefault="00AF55E9"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p w14:paraId="7C972365" w14:textId="77777777" w:rsidR="00AF55E9" w:rsidRDefault="00AF55E9"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p w14:paraId="25A7726F" w14:textId="77777777" w:rsidR="00AF55E9" w:rsidRDefault="00AF55E9"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p w14:paraId="11DF55ED" w14:textId="77777777" w:rsidR="00AF55E9" w:rsidRDefault="00AF55E9"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p w14:paraId="799AE92F" w14:textId="77777777" w:rsidR="00AF55E9" w:rsidRDefault="00AF55E9"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p w14:paraId="1768AAFE" w14:textId="77777777" w:rsidR="00AF55E9" w:rsidRDefault="00AF55E9"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p w14:paraId="04836E2C" w14:textId="77777777" w:rsidR="00AF55E9" w:rsidRDefault="00AF55E9"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p w14:paraId="74B57182" w14:textId="77777777" w:rsidR="00AF55E9" w:rsidRDefault="00AF55E9"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p w14:paraId="2E0BD5EA" w14:textId="77777777" w:rsidR="00AF55E9" w:rsidRDefault="00AF55E9"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p w14:paraId="63C33932" w14:textId="77777777" w:rsidR="00AF55E9" w:rsidRDefault="00AF55E9"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p w14:paraId="7686C6DF" w14:textId="77777777" w:rsidR="00AF55E9" w:rsidRDefault="00AF55E9"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p w14:paraId="28A566CC" w14:textId="77777777" w:rsidR="00AF55E9" w:rsidRDefault="00AF55E9"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p w14:paraId="0B605853" w14:textId="77777777" w:rsidR="00AF55E9" w:rsidRDefault="00AF55E9"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p w14:paraId="66BC79A8" w14:textId="77777777" w:rsidR="00AF55E9" w:rsidRDefault="00AF55E9"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p w14:paraId="378DB982" w14:textId="77777777" w:rsidR="00AF55E9" w:rsidRDefault="00AF55E9"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p w14:paraId="054DEDA2" w14:textId="77777777" w:rsidR="00AF55E9" w:rsidRDefault="00AF55E9"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p w14:paraId="79E34E26" w14:textId="77777777" w:rsidR="00AF55E9" w:rsidRDefault="00AF55E9"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p w14:paraId="6E0FBDEF" w14:textId="46CD4840" w:rsidR="00AF55E9" w:rsidRDefault="00AF55E9"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r>
        <w:rPr>
          <w:rFonts w:ascii="PT Sans" w:eastAsia="Times New Roman" w:hAnsi="PT Sans" w:cs="Times New Roman"/>
          <w:color w:val="000000"/>
          <w:kern w:val="0"/>
          <w:sz w:val="26"/>
          <w:szCs w:val="26"/>
          <w14:ligatures w14:val="none"/>
        </w:rPr>
        <w:t>Sources Cited:</w:t>
      </w:r>
    </w:p>
    <w:p w14:paraId="25A329E6" w14:textId="77777777" w:rsidR="00AF55E9" w:rsidRDefault="00AF55E9"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p w14:paraId="175CD8C7" w14:textId="77777777" w:rsidR="00AF55E9" w:rsidRDefault="00AF55E9"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p w14:paraId="4B349588" w14:textId="77777777" w:rsidR="00861CF8" w:rsidRPr="00861CF8" w:rsidRDefault="00861CF8" w:rsidP="00861CF8">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roofErr w:type="spellStart"/>
      <w:r w:rsidRPr="00861CF8">
        <w:rPr>
          <w:rFonts w:ascii="PT Sans" w:eastAsia="Times New Roman" w:hAnsi="PT Sans" w:cs="Times New Roman"/>
          <w:i/>
          <w:iCs/>
          <w:color w:val="000000"/>
          <w:kern w:val="0"/>
          <w:sz w:val="26"/>
          <w:szCs w:val="26"/>
          <w14:ligatures w14:val="none"/>
        </w:rPr>
        <w:t>Kesluk</w:t>
      </w:r>
      <w:proofErr w:type="spellEnd"/>
      <w:r w:rsidRPr="00861CF8">
        <w:rPr>
          <w:rFonts w:ascii="PT Sans" w:eastAsia="Times New Roman" w:hAnsi="PT Sans" w:cs="Times New Roman"/>
          <w:i/>
          <w:iCs/>
          <w:color w:val="000000"/>
          <w:kern w:val="0"/>
          <w:sz w:val="26"/>
          <w:szCs w:val="26"/>
          <w14:ligatures w14:val="none"/>
        </w:rPr>
        <w:t xml:space="preserve">, </w:t>
      </w:r>
      <w:proofErr w:type="spellStart"/>
      <w:r w:rsidRPr="00861CF8">
        <w:rPr>
          <w:rFonts w:ascii="PT Sans" w:eastAsia="Times New Roman" w:hAnsi="PT Sans" w:cs="Times New Roman"/>
          <w:i/>
          <w:iCs/>
          <w:color w:val="000000"/>
          <w:kern w:val="0"/>
          <w:sz w:val="26"/>
          <w:szCs w:val="26"/>
          <w14:ligatures w14:val="none"/>
        </w:rPr>
        <w:t>silverstein</w:t>
      </w:r>
      <w:proofErr w:type="spellEnd"/>
      <w:r w:rsidRPr="00861CF8">
        <w:rPr>
          <w:rFonts w:ascii="PT Sans" w:eastAsia="Times New Roman" w:hAnsi="PT Sans" w:cs="Times New Roman"/>
          <w:i/>
          <w:iCs/>
          <w:color w:val="000000"/>
          <w:kern w:val="0"/>
          <w:sz w:val="26"/>
          <w:szCs w:val="26"/>
          <w14:ligatures w14:val="none"/>
        </w:rPr>
        <w:t xml:space="preserve">, </w:t>
      </w:r>
      <w:proofErr w:type="spellStart"/>
      <w:r w:rsidRPr="00861CF8">
        <w:rPr>
          <w:rFonts w:ascii="PT Sans" w:eastAsia="Times New Roman" w:hAnsi="PT Sans" w:cs="Times New Roman"/>
          <w:i/>
          <w:iCs/>
          <w:color w:val="000000"/>
          <w:kern w:val="0"/>
          <w:sz w:val="26"/>
          <w:szCs w:val="26"/>
          <w14:ligatures w14:val="none"/>
        </w:rPr>
        <w:t>jacob</w:t>
      </w:r>
      <w:proofErr w:type="spellEnd"/>
      <w:r w:rsidRPr="00861CF8">
        <w:rPr>
          <w:rFonts w:ascii="PT Sans" w:eastAsia="Times New Roman" w:hAnsi="PT Sans" w:cs="Times New Roman"/>
          <w:i/>
          <w:iCs/>
          <w:color w:val="000000"/>
          <w:kern w:val="0"/>
          <w:sz w:val="26"/>
          <w:szCs w:val="26"/>
          <w14:ligatures w14:val="none"/>
        </w:rPr>
        <w:t xml:space="preserve"> &amp; </w:t>
      </w:r>
      <w:proofErr w:type="spellStart"/>
      <w:r w:rsidRPr="00861CF8">
        <w:rPr>
          <w:rFonts w:ascii="PT Sans" w:eastAsia="Times New Roman" w:hAnsi="PT Sans" w:cs="Times New Roman"/>
          <w:i/>
          <w:iCs/>
          <w:color w:val="000000"/>
          <w:kern w:val="0"/>
          <w:sz w:val="26"/>
          <w:szCs w:val="26"/>
          <w14:ligatures w14:val="none"/>
        </w:rPr>
        <w:t>morrison</w:t>
      </w:r>
      <w:proofErr w:type="spellEnd"/>
      <w:r w:rsidRPr="00861CF8">
        <w:rPr>
          <w:rFonts w:ascii="PT Sans" w:eastAsia="Times New Roman" w:hAnsi="PT Sans" w:cs="Times New Roman"/>
          <w:i/>
          <w:iCs/>
          <w:color w:val="000000"/>
          <w:kern w:val="0"/>
          <w:sz w:val="26"/>
          <w:szCs w:val="26"/>
          <w14:ligatures w14:val="none"/>
        </w:rPr>
        <w:t>, P.C.</w:t>
      </w:r>
      <w:r w:rsidRPr="00861CF8">
        <w:rPr>
          <w:rFonts w:ascii="PT Sans" w:eastAsia="Times New Roman" w:hAnsi="PT Sans" w:cs="Times New Roman"/>
          <w:color w:val="000000"/>
          <w:kern w:val="0"/>
          <w:sz w:val="26"/>
          <w:szCs w:val="26"/>
          <w14:ligatures w14:val="none"/>
        </w:rPr>
        <w:t xml:space="preserve"> (n.d.). </w:t>
      </w:r>
      <w:proofErr w:type="spellStart"/>
      <w:r w:rsidRPr="00861CF8">
        <w:rPr>
          <w:rFonts w:ascii="PT Sans" w:eastAsia="Times New Roman" w:hAnsi="PT Sans" w:cs="Times New Roman"/>
          <w:color w:val="000000"/>
          <w:kern w:val="0"/>
          <w:sz w:val="26"/>
          <w:szCs w:val="26"/>
          <w14:ligatures w14:val="none"/>
        </w:rPr>
        <w:t>Kesluk</w:t>
      </w:r>
      <w:proofErr w:type="spellEnd"/>
      <w:r w:rsidRPr="00861CF8">
        <w:rPr>
          <w:rFonts w:ascii="PT Sans" w:eastAsia="Times New Roman" w:hAnsi="PT Sans" w:cs="Times New Roman"/>
          <w:color w:val="000000"/>
          <w:kern w:val="0"/>
          <w:sz w:val="26"/>
          <w:szCs w:val="26"/>
          <w14:ligatures w14:val="none"/>
        </w:rPr>
        <w:t xml:space="preserve">, Silverstein, Jacob &amp; Morrison, P.C. Retrieved November 11, 2024, from https://www.californialaborlawattorney.com/employment-library/labor-and-employment-resources/non-competition-clauses/are-non-compete-agreements-valid-in-california/ </w:t>
      </w:r>
    </w:p>
    <w:p w14:paraId="3B5956DA" w14:textId="77777777" w:rsidR="00861CF8" w:rsidRPr="00861CF8" w:rsidRDefault="00861CF8" w:rsidP="00861CF8">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r w:rsidRPr="00861CF8">
        <w:rPr>
          <w:rFonts w:ascii="PT Sans" w:eastAsia="Times New Roman" w:hAnsi="PT Sans" w:cs="Times New Roman"/>
          <w:color w:val="000000"/>
          <w:kern w:val="0"/>
          <w:sz w:val="26"/>
          <w:szCs w:val="26"/>
          <w14:ligatures w14:val="none"/>
        </w:rPr>
        <w:t xml:space="preserve">Lanigan, A. (2024a, April 29). What the FTC’s ban on noncompete clauses means for physicians. </w:t>
      </w:r>
      <w:r w:rsidRPr="00861CF8">
        <w:rPr>
          <w:rFonts w:ascii="PT Sans" w:eastAsia="Times New Roman" w:hAnsi="PT Sans" w:cs="Times New Roman"/>
          <w:i/>
          <w:iCs/>
          <w:color w:val="000000"/>
          <w:kern w:val="0"/>
          <w:sz w:val="26"/>
          <w:szCs w:val="26"/>
          <w14:ligatures w14:val="none"/>
        </w:rPr>
        <w:t>American Academy of Family Physicians</w:t>
      </w:r>
      <w:r w:rsidRPr="00861CF8">
        <w:rPr>
          <w:rFonts w:ascii="PT Sans" w:eastAsia="Times New Roman" w:hAnsi="PT Sans" w:cs="Times New Roman"/>
          <w:color w:val="000000"/>
          <w:kern w:val="0"/>
          <w:sz w:val="26"/>
          <w:szCs w:val="26"/>
          <w14:ligatures w14:val="none"/>
        </w:rPr>
        <w:t xml:space="preserve">. https://www.aafp.org/pubs/fpm/blogs/inpractice/entry/ftc-noncompete-ban.html </w:t>
      </w:r>
    </w:p>
    <w:p w14:paraId="6D65B7DE" w14:textId="77777777" w:rsidR="00861CF8" w:rsidRPr="00861CF8" w:rsidRDefault="00861CF8" w:rsidP="00861CF8">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r w:rsidRPr="00861CF8">
        <w:rPr>
          <w:rFonts w:ascii="PT Sans" w:eastAsia="Times New Roman" w:hAnsi="PT Sans" w:cs="Times New Roman"/>
          <w:color w:val="000000"/>
          <w:kern w:val="0"/>
          <w:sz w:val="26"/>
          <w:szCs w:val="26"/>
          <w14:ligatures w14:val="none"/>
        </w:rPr>
        <w:t xml:space="preserve">Lanigan, A. (2024b, April 29). What the FTC’s ban on noncompete clauses means for physicians. </w:t>
      </w:r>
      <w:r w:rsidRPr="00861CF8">
        <w:rPr>
          <w:rFonts w:ascii="PT Sans" w:eastAsia="Times New Roman" w:hAnsi="PT Sans" w:cs="Times New Roman"/>
          <w:i/>
          <w:iCs/>
          <w:color w:val="000000"/>
          <w:kern w:val="0"/>
          <w:sz w:val="26"/>
          <w:szCs w:val="26"/>
          <w14:ligatures w14:val="none"/>
        </w:rPr>
        <w:t>American Academy of Family Physicians</w:t>
      </w:r>
      <w:r w:rsidRPr="00861CF8">
        <w:rPr>
          <w:rFonts w:ascii="PT Sans" w:eastAsia="Times New Roman" w:hAnsi="PT Sans" w:cs="Times New Roman"/>
          <w:color w:val="000000"/>
          <w:kern w:val="0"/>
          <w:sz w:val="26"/>
          <w:szCs w:val="26"/>
          <w14:ligatures w14:val="none"/>
        </w:rPr>
        <w:t xml:space="preserve">. https://www.aafp.org/pubs/fpm/blogs/inpractice/entry/ftc-noncompete-ban.html </w:t>
      </w:r>
    </w:p>
    <w:p w14:paraId="724BB535" w14:textId="77777777" w:rsidR="00861CF8" w:rsidRPr="00861CF8" w:rsidRDefault="00861CF8" w:rsidP="00861CF8">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roofErr w:type="spellStart"/>
      <w:r w:rsidRPr="00861CF8">
        <w:rPr>
          <w:rFonts w:ascii="PT Sans" w:eastAsia="Times New Roman" w:hAnsi="PT Sans" w:cs="Times New Roman"/>
          <w:i/>
          <w:iCs/>
          <w:color w:val="000000"/>
          <w:kern w:val="0"/>
          <w:sz w:val="26"/>
          <w:szCs w:val="26"/>
          <w14:ligatures w14:val="none"/>
        </w:rPr>
        <w:t>Noncompetes</w:t>
      </w:r>
      <w:proofErr w:type="spellEnd"/>
      <w:r w:rsidRPr="00861CF8">
        <w:rPr>
          <w:rFonts w:ascii="PT Sans" w:eastAsia="Times New Roman" w:hAnsi="PT Sans" w:cs="Times New Roman"/>
          <w:i/>
          <w:iCs/>
          <w:color w:val="000000"/>
          <w:kern w:val="0"/>
          <w:sz w:val="26"/>
          <w:szCs w:val="26"/>
          <w14:ligatures w14:val="none"/>
        </w:rPr>
        <w:t>: What you should know</w:t>
      </w:r>
      <w:r w:rsidRPr="00861CF8">
        <w:rPr>
          <w:rFonts w:ascii="PT Sans" w:eastAsia="Times New Roman" w:hAnsi="PT Sans" w:cs="Times New Roman"/>
          <w:color w:val="000000"/>
          <w:kern w:val="0"/>
          <w:sz w:val="26"/>
          <w:szCs w:val="26"/>
          <w14:ligatures w14:val="none"/>
        </w:rPr>
        <w:t xml:space="preserve">. (2024, August 8). Federal Trade Commission. https://www.ftc.gov/news-events/features/noncompetes </w:t>
      </w:r>
    </w:p>
    <w:p w14:paraId="541D0739" w14:textId="77777777" w:rsidR="00AF55E9" w:rsidRPr="00B12DD7" w:rsidRDefault="00AF55E9" w:rsidP="00B12DD7">
      <w:pPr>
        <w:pStyle w:val="ListParagraph"/>
        <w:shd w:val="clear" w:color="auto" w:fill="F7F7F7"/>
        <w:spacing w:before="100" w:beforeAutospacing="1" w:after="100" w:afterAutospacing="1" w:line="240" w:lineRule="auto"/>
        <w:rPr>
          <w:rFonts w:ascii="PT Sans" w:eastAsia="Times New Roman" w:hAnsi="PT Sans" w:cs="Times New Roman"/>
          <w:color w:val="000000"/>
          <w:kern w:val="0"/>
          <w:sz w:val="26"/>
          <w:szCs w:val="26"/>
          <w14:ligatures w14:val="none"/>
        </w:rPr>
      </w:pPr>
    </w:p>
    <w:sectPr w:rsidR="00AF55E9" w:rsidRPr="00B12D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33E61"/>
    <w:multiLevelType w:val="multilevel"/>
    <w:tmpl w:val="8766D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FD21E8"/>
    <w:multiLevelType w:val="multilevel"/>
    <w:tmpl w:val="06122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0E0922"/>
    <w:multiLevelType w:val="multilevel"/>
    <w:tmpl w:val="00DEC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794C11"/>
    <w:multiLevelType w:val="multilevel"/>
    <w:tmpl w:val="B82AA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86104765">
    <w:abstractNumId w:val="1"/>
  </w:num>
  <w:num w:numId="2" w16cid:durableId="894194855">
    <w:abstractNumId w:val="3"/>
  </w:num>
  <w:num w:numId="3" w16cid:durableId="478499974">
    <w:abstractNumId w:val="2"/>
  </w:num>
  <w:num w:numId="4" w16cid:durableId="609363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320"/>
    <w:rsid w:val="001A0550"/>
    <w:rsid w:val="00356EA8"/>
    <w:rsid w:val="003B060C"/>
    <w:rsid w:val="00796D5A"/>
    <w:rsid w:val="00861CF8"/>
    <w:rsid w:val="0093514B"/>
    <w:rsid w:val="00A80E1B"/>
    <w:rsid w:val="00AF55E9"/>
    <w:rsid w:val="00B12DD7"/>
    <w:rsid w:val="00D53320"/>
    <w:rsid w:val="00D758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7B8E0"/>
  <w15:chartTrackingRefBased/>
  <w15:docId w15:val="{89B00CAA-ACCA-4A5D-851C-20B2B46E5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33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533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533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D533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533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533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533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533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533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33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533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5332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D5332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5332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533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33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33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3320"/>
    <w:rPr>
      <w:rFonts w:eastAsiaTheme="majorEastAsia" w:cstheme="majorBidi"/>
      <w:color w:val="272727" w:themeColor="text1" w:themeTint="D8"/>
    </w:rPr>
  </w:style>
  <w:style w:type="paragraph" w:styleId="Title">
    <w:name w:val="Title"/>
    <w:basedOn w:val="Normal"/>
    <w:next w:val="Normal"/>
    <w:link w:val="TitleChar"/>
    <w:uiPriority w:val="10"/>
    <w:qFormat/>
    <w:rsid w:val="00D533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33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33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33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3320"/>
    <w:pPr>
      <w:spacing w:before="160"/>
      <w:jc w:val="center"/>
    </w:pPr>
    <w:rPr>
      <w:i/>
      <w:iCs/>
      <w:color w:val="404040" w:themeColor="text1" w:themeTint="BF"/>
    </w:rPr>
  </w:style>
  <w:style w:type="character" w:customStyle="1" w:styleId="QuoteChar">
    <w:name w:val="Quote Char"/>
    <w:basedOn w:val="DefaultParagraphFont"/>
    <w:link w:val="Quote"/>
    <w:uiPriority w:val="29"/>
    <w:rsid w:val="00D53320"/>
    <w:rPr>
      <w:i/>
      <w:iCs/>
      <w:color w:val="404040" w:themeColor="text1" w:themeTint="BF"/>
    </w:rPr>
  </w:style>
  <w:style w:type="paragraph" w:styleId="ListParagraph">
    <w:name w:val="List Paragraph"/>
    <w:basedOn w:val="Normal"/>
    <w:uiPriority w:val="34"/>
    <w:qFormat/>
    <w:rsid w:val="00D53320"/>
    <w:pPr>
      <w:ind w:left="720"/>
      <w:contextualSpacing/>
    </w:pPr>
  </w:style>
  <w:style w:type="character" w:styleId="IntenseEmphasis">
    <w:name w:val="Intense Emphasis"/>
    <w:basedOn w:val="DefaultParagraphFont"/>
    <w:uiPriority w:val="21"/>
    <w:qFormat/>
    <w:rsid w:val="00D53320"/>
    <w:rPr>
      <w:i/>
      <w:iCs/>
      <w:color w:val="0F4761" w:themeColor="accent1" w:themeShade="BF"/>
    </w:rPr>
  </w:style>
  <w:style w:type="paragraph" w:styleId="IntenseQuote">
    <w:name w:val="Intense Quote"/>
    <w:basedOn w:val="Normal"/>
    <w:next w:val="Normal"/>
    <w:link w:val="IntenseQuoteChar"/>
    <w:uiPriority w:val="30"/>
    <w:qFormat/>
    <w:rsid w:val="00D533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53320"/>
    <w:rPr>
      <w:i/>
      <w:iCs/>
      <w:color w:val="0F4761" w:themeColor="accent1" w:themeShade="BF"/>
    </w:rPr>
  </w:style>
  <w:style w:type="character" w:styleId="IntenseReference">
    <w:name w:val="Intense Reference"/>
    <w:basedOn w:val="DefaultParagraphFont"/>
    <w:uiPriority w:val="32"/>
    <w:qFormat/>
    <w:rsid w:val="00D53320"/>
    <w:rPr>
      <w:b/>
      <w:bCs/>
      <w:smallCaps/>
      <w:color w:val="0F4761" w:themeColor="accent1" w:themeShade="BF"/>
      <w:spacing w:val="5"/>
    </w:rPr>
  </w:style>
  <w:style w:type="character" w:styleId="Hyperlink">
    <w:name w:val="Hyperlink"/>
    <w:basedOn w:val="DefaultParagraphFont"/>
    <w:uiPriority w:val="99"/>
    <w:unhideWhenUsed/>
    <w:rsid w:val="0093514B"/>
    <w:rPr>
      <w:color w:val="467886" w:themeColor="hyperlink"/>
      <w:u w:val="single"/>
    </w:rPr>
  </w:style>
  <w:style w:type="character" w:styleId="UnresolvedMention">
    <w:name w:val="Unresolved Mention"/>
    <w:basedOn w:val="DefaultParagraphFont"/>
    <w:uiPriority w:val="99"/>
    <w:semiHidden/>
    <w:unhideWhenUsed/>
    <w:rsid w:val="0093514B"/>
    <w:rPr>
      <w:color w:val="605E5C"/>
      <w:shd w:val="clear" w:color="auto" w:fill="E1DFDD"/>
    </w:rPr>
  </w:style>
  <w:style w:type="paragraph" w:styleId="NormalWeb">
    <w:name w:val="Normal (Web)"/>
    <w:basedOn w:val="Normal"/>
    <w:uiPriority w:val="99"/>
    <w:semiHidden/>
    <w:unhideWhenUsed/>
    <w:rsid w:val="00B12DD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B12D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41923">
      <w:bodyDiv w:val="1"/>
      <w:marLeft w:val="0"/>
      <w:marRight w:val="0"/>
      <w:marTop w:val="0"/>
      <w:marBottom w:val="0"/>
      <w:divBdr>
        <w:top w:val="none" w:sz="0" w:space="0" w:color="auto"/>
        <w:left w:val="none" w:sz="0" w:space="0" w:color="auto"/>
        <w:bottom w:val="none" w:sz="0" w:space="0" w:color="auto"/>
        <w:right w:val="none" w:sz="0" w:space="0" w:color="auto"/>
      </w:divBdr>
    </w:div>
    <w:div w:id="158429351">
      <w:bodyDiv w:val="1"/>
      <w:marLeft w:val="0"/>
      <w:marRight w:val="0"/>
      <w:marTop w:val="0"/>
      <w:marBottom w:val="0"/>
      <w:divBdr>
        <w:top w:val="none" w:sz="0" w:space="0" w:color="auto"/>
        <w:left w:val="none" w:sz="0" w:space="0" w:color="auto"/>
        <w:bottom w:val="none" w:sz="0" w:space="0" w:color="auto"/>
        <w:right w:val="none" w:sz="0" w:space="0" w:color="auto"/>
      </w:divBdr>
    </w:div>
    <w:div w:id="341006372">
      <w:bodyDiv w:val="1"/>
      <w:marLeft w:val="0"/>
      <w:marRight w:val="0"/>
      <w:marTop w:val="0"/>
      <w:marBottom w:val="0"/>
      <w:divBdr>
        <w:top w:val="none" w:sz="0" w:space="0" w:color="auto"/>
        <w:left w:val="none" w:sz="0" w:space="0" w:color="auto"/>
        <w:bottom w:val="none" w:sz="0" w:space="0" w:color="auto"/>
        <w:right w:val="none" w:sz="0" w:space="0" w:color="auto"/>
      </w:divBdr>
    </w:div>
    <w:div w:id="385759486">
      <w:bodyDiv w:val="1"/>
      <w:marLeft w:val="0"/>
      <w:marRight w:val="0"/>
      <w:marTop w:val="0"/>
      <w:marBottom w:val="0"/>
      <w:divBdr>
        <w:top w:val="none" w:sz="0" w:space="0" w:color="auto"/>
        <w:left w:val="none" w:sz="0" w:space="0" w:color="auto"/>
        <w:bottom w:val="none" w:sz="0" w:space="0" w:color="auto"/>
        <w:right w:val="none" w:sz="0" w:space="0" w:color="auto"/>
      </w:divBdr>
    </w:div>
    <w:div w:id="405537633">
      <w:bodyDiv w:val="1"/>
      <w:marLeft w:val="0"/>
      <w:marRight w:val="0"/>
      <w:marTop w:val="0"/>
      <w:marBottom w:val="0"/>
      <w:divBdr>
        <w:top w:val="none" w:sz="0" w:space="0" w:color="auto"/>
        <w:left w:val="none" w:sz="0" w:space="0" w:color="auto"/>
        <w:bottom w:val="none" w:sz="0" w:space="0" w:color="auto"/>
        <w:right w:val="none" w:sz="0" w:space="0" w:color="auto"/>
      </w:divBdr>
    </w:div>
    <w:div w:id="405541371">
      <w:bodyDiv w:val="1"/>
      <w:marLeft w:val="0"/>
      <w:marRight w:val="0"/>
      <w:marTop w:val="0"/>
      <w:marBottom w:val="0"/>
      <w:divBdr>
        <w:top w:val="none" w:sz="0" w:space="0" w:color="auto"/>
        <w:left w:val="none" w:sz="0" w:space="0" w:color="auto"/>
        <w:bottom w:val="none" w:sz="0" w:space="0" w:color="auto"/>
        <w:right w:val="none" w:sz="0" w:space="0" w:color="auto"/>
      </w:divBdr>
    </w:div>
    <w:div w:id="650599950">
      <w:bodyDiv w:val="1"/>
      <w:marLeft w:val="0"/>
      <w:marRight w:val="0"/>
      <w:marTop w:val="0"/>
      <w:marBottom w:val="0"/>
      <w:divBdr>
        <w:top w:val="none" w:sz="0" w:space="0" w:color="auto"/>
        <w:left w:val="none" w:sz="0" w:space="0" w:color="auto"/>
        <w:bottom w:val="none" w:sz="0" w:space="0" w:color="auto"/>
        <w:right w:val="none" w:sz="0" w:space="0" w:color="auto"/>
      </w:divBdr>
    </w:div>
    <w:div w:id="1392002140">
      <w:bodyDiv w:val="1"/>
      <w:marLeft w:val="0"/>
      <w:marRight w:val="0"/>
      <w:marTop w:val="0"/>
      <w:marBottom w:val="0"/>
      <w:divBdr>
        <w:top w:val="none" w:sz="0" w:space="0" w:color="auto"/>
        <w:left w:val="none" w:sz="0" w:space="0" w:color="auto"/>
        <w:bottom w:val="none" w:sz="0" w:space="0" w:color="auto"/>
        <w:right w:val="none" w:sz="0" w:space="0" w:color="auto"/>
      </w:divBdr>
    </w:div>
    <w:div w:id="1495416600">
      <w:bodyDiv w:val="1"/>
      <w:marLeft w:val="0"/>
      <w:marRight w:val="0"/>
      <w:marTop w:val="0"/>
      <w:marBottom w:val="0"/>
      <w:divBdr>
        <w:top w:val="none" w:sz="0" w:space="0" w:color="auto"/>
        <w:left w:val="none" w:sz="0" w:space="0" w:color="auto"/>
        <w:bottom w:val="none" w:sz="0" w:space="0" w:color="auto"/>
        <w:right w:val="none" w:sz="0" w:space="0" w:color="auto"/>
      </w:divBdr>
    </w:div>
    <w:div w:id="1506046702">
      <w:bodyDiv w:val="1"/>
      <w:marLeft w:val="0"/>
      <w:marRight w:val="0"/>
      <w:marTop w:val="0"/>
      <w:marBottom w:val="0"/>
      <w:divBdr>
        <w:top w:val="none" w:sz="0" w:space="0" w:color="auto"/>
        <w:left w:val="none" w:sz="0" w:space="0" w:color="auto"/>
        <w:bottom w:val="none" w:sz="0" w:space="0" w:color="auto"/>
        <w:right w:val="none" w:sz="0" w:space="0" w:color="auto"/>
      </w:divBdr>
    </w:div>
    <w:div w:id="1689217967">
      <w:bodyDiv w:val="1"/>
      <w:marLeft w:val="0"/>
      <w:marRight w:val="0"/>
      <w:marTop w:val="0"/>
      <w:marBottom w:val="0"/>
      <w:divBdr>
        <w:top w:val="none" w:sz="0" w:space="0" w:color="auto"/>
        <w:left w:val="none" w:sz="0" w:space="0" w:color="auto"/>
        <w:bottom w:val="none" w:sz="0" w:space="0" w:color="auto"/>
        <w:right w:val="none" w:sz="0" w:space="0" w:color="auto"/>
      </w:divBdr>
    </w:div>
    <w:div w:id="1798839018">
      <w:bodyDiv w:val="1"/>
      <w:marLeft w:val="0"/>
      <w:marRight w:val="0"/>
      <w:marTop w:val="0"/>
      <w:marBottom w:val="0"/>
      <w:divBdr>
        <w:top w:val="none" w:sz="0" w:space="0" w:color="auto"/>
        <w:left w:val="none" w:sz="0" w:space="0" w:color="auto"/>
        <w:bottom w:val="none" w:sz="0" w:space="0" w:color="auto"/>
        <w:right w:val="none" w:sz="0" w:space="0" w:color="auto"/>
      </w:divBdr>
    </w:div>
    <w:div w:id="2021657488">
      <w:bodyDiv w:val="1"/>
      <w:marLeft w:val="0"/>
      <w:marRight w:val="0"/>
      <w:marTop w:val="0"/>
      <w:marBottom w:val="0"/>
      <w:divBdr>
        <w:top w:val="none" w:sz="0" w:space="0" w:color="auto"/>
        <w:left w:val="none" w:sz="0" w:space="0" w:color="auto"/>
        <w:bottom w:val="none" w:sz="0" w:space="0" w:color="auto"/>
        <w:right w:val="none" w:sz="0" w:space="0" w:color="auto"/>
      </w:divBdr>
    </w:div>
    <w:div w:id="2068457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lifornialaborlawattorney.com/practice-areas/whistleblowing-law-firm/" TargetMode="External"/><Relationship Id="rId3" Type="http://schemas.openxmlformats.org/officeDocument/2006/relationships/settings" Target="settings.xml"/><Relationship Id="rId7" Type="http://schemas.openxmlformats.org/officeDocument/2006/relationships/hyperlink" Target="https://www.aafp.org/membership/benefits/advantage/resolve.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tc.gov/system/files/ftc_gov/pdf/noncompete-rule.pdf" TargetMode="External"/><Relationship Id="rId11" Type="http://schemas.openxmlformats.org/officeDocument/2006/relationships/fontTable" Target="fontTable.xml"/><Relationship Id="rId5" Type="http://schemas.openxmlformats.org/officeDocument/2006/relationships/hyperlink" Target="https://www.google.com/search?sca_esv=cb07a7a3b160771b&amp;q=disputed&amp;si=ACC90nx67Z8g0WkBmnrPB4IqtqGvjNjNoSwNetwoE3qRoKJ900OXS-_FOR6Bzo63zjhI0H7qQq5udAoOuiwaXgNbCKRkVf6K3kl1GZ-bK2BhaEwyQCTNH7U%3D&amp;expnd=1&amp;sa=X&amp;ved=2ahUKEwiRkqry4tWJAxWWD0QIHVnnHSUQyecJegQIHxA2" TargetMode="External"/><Relationship Id="rId10" Type="http://schemas.openxmlformats.org/officeDocument/2006/relationships/hyperlink" Target="https://www.californialaborlawattorney.com/practice-areas/wrongful-termination-law-firm/" TargetMode="External"/><Relationship Id="rId4" Type="http://schemas.openxmlformats.org/officeDocument/2006/relationships/webSettings" Target="webSettings.xml"/><Relationship Id="rId9" Type="http://schemas.openxmlformats.org/officeDocument/2006/relationships/hyperlink" Target="https://www.californialaborlawattorney.com/los-angeles-employment-attorney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5</Pages>
  <Words>1350</Words>
  <Characters>7698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Dashun Henderson</dc:creator>
  <cp:keywords/>
  <dc:description/>
  <cp:lastModifiedBy>Dashun Henderson</cp:lastModifiedBy>
  <cp:revision>3</cp:revision>
  <dcterms:created xsi:type="dcterms:W3CDTF">2024-11-12T02:23:00Z</dcterms:created>
  <dcterms:modified xsi:type="dcterms:W3CDTF">2024-11-12T02:54:00Z</dcterms:modified>
</cp:coreProperties>
</file>